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B8" w:rsidRDefault="00E71D8D" w:rsidP="00153A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Child Welfare</w:t>
      </w:r>
      <w:r w:rsidR="00153AB8">
        <w:rPr>
          <w:b/>
          <w:sz w:val="28"/>
        </w:rPr>
        <w:t xml:space="preserve"> </w:t>
      </w:r>
      <w:r w:rsidR="00153AB8" w:rsidRPr="002E0CDB">
        <w:rPr>
          <w:b/>
          <w:sz w:val="28"/>
        </w:rPr>
        <w:t xml:space="preserve">Legislative Update </w:t>
      </w:r>
    </w:p>
    <w:p w:rsidR="00153AB8" w:rsidRDefault="00153AB8" w:rsidP="00153AB8">
      <w:pPr>
        <w:jc w:val="center"/>
        <w:rPr>
          <w:b/>
        </w:rPr>
      </w:pPr>
    </w:p>
    <w:p w:rsidR="00374F49" w:rsidRPr="00374F49" w:rsidRDefault="008214CD" w:rsidP="00153AB8">
      <w:pPr>
        <w:spacing w:after="0" w:line="240" w:lineRule="auto"/>
        <w:rPr>
          <w:b/>
          <w:sz w:val="24"/>
          <w:szCs w:val="24"/>
        </w:rPr>
      </w:pPr>
      <w:hyperlink r:id="rId6" w:history="1">
        <w:r w:rsidR="00374F49" w:rsidRPr="00374F49">
          <w:rPr>
            <w:rStyle w:val="Hyperlink"/>
            <w:b/>
            <w:sz w:val="24"/>
            <w:szCs w:val="24"/>
          </w:rPr>
          <w:t>S.L. 2014-16</w:t>
        </w:r>
      </w:hyperlink>
      <w:r w:rsidR="00374F49" w:rsidRPr="00374F49">
        <w:rPr>
          <w:b/>
          <w:sz w:val="24"/>
          <w:szCs w:val="24"/>
        </w:rPr>
        <w:t xml:space="preserve"> (H1103): Pre-adjudication hearing</w:t>
      </w:r>
    </w:p>
    <w:p w:rsidR="00153AB8" w:rsidRDefault="00374F49" w:rsidP="00EA7FC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153AB8" w:rsidRPr="00374F49">
        <w:rPr>
          <w:sz w:val="24"/>
          <w:szCs w:val="24"/>
        </w:rPr>
        <w:t>ffective October 1, 2014</w:t>
      </w:r>
      <w:r>
        <w:rPr>
          <w:sz w:val="24"/>
          <w:szCs w:val="24"/>
        </w:rPr>
        <w:t xml:space="preserve">, </w:t>
      </w:r>
      <w:r w:rsidR="00E71D8D">
        <w:rPr>
          <w:sz w:val="24"/>
          <w:szCs w:val="24"/>
        </w:rPr>
        <w:t>th</w:t>
      </w:r>
      <w:r w:rsidR="00ED0C62">
        <w:rPr>
          <w:sz w:val="24"/>
          <w:szCs w:val="24"/>
        </w:rPr>
        <w:t xml:space="preserve">is session law adds </w:t>
      </w:r>
      <w:r w:rsidR="00E71D8D">
        <w:rPr>
          <w:sz w:val="24"/>
          <w:szCs w:val="24"/>
        </w:rPr>
        <w:t>G.S. 7B-800.1</w:t>
      </w:r>
      <w:r>
        <w:rPr>
          <w:sz w:val="24"/>
          <w:szCs w:val="24"/>
        </w:rPr>
        <w:t>(</w:t>
      </w:r>
      <w:r w:rsidR="00153AB8">
        <w:rPr>
          <w:sz w:val="24"/>
          <w:szCs w:val="24"/>
        </w:rPr>
        <w:t>5a)</w:t>
      </w:r>
      <w:r w:rsidR="00ED0C62">
        <w:rPr>
          <w:sz w:val="24"/>
          <w:szCs w:val="24"/>
        </w:rPr>
        <w:t xml:space="preserve">, which </w:t>
      </w:r>
      <w:r w:rsidR="00153AB8">
        <w:rPr>
          <w:sz w:val="24"/>
          <w:szCs w:val="24"/>
        </w:rPr>
        <w:t>requir</w:t>
      </w:r>
      <w:r>
        <w:rPr>
          <w:sz w:val="24"/>
          <w:szCs w:val="24"/>
        </w:rPr>
        <w:t>e</w:t>
      </w:r>
      <w:r w:rsidR="00ED0C62">
        <w:rPr>
          <w:sz w:val="24"/>
          <w:szCs w:val="24"/>
        </w:rPr>
        <w:t>s</w:t>
      </w:r>
      <w:r w:rsidR="00153AB8">
        <w:rPr>
          <w:sz w:val="24"/>
          <w:szCs w:val="24"/>
        </w:rPr>
        <w:t xml:space="preserve"> the court to consider </w:t>
      </w:r>
      <w:r w:rsidR="00F46671">
        <w:rPr>
          <w:sz w:val="24"/>
          <w:szCs w:val="24"/>
        </w:rPr>
        <w:t xml:space="preserve">at the pre-adjudication hearing </w:t>
      </w:r>
      <w:r w:rsidR="00153AB8">
        <w:rPr>
          <w:sz w:val="24"/>
          <w:szCs w:val="24"/>
        </w:rPr>
        <w:t>whether a petition</w:t>
      </w:r>
      <w:r w:rsidR="00ED0C62">
        <w:rPr>
          <w:sz w:val="24"/>
          <w:szCs w:val="24"/>
        </w:rPr>
        <w:t xml:space="preserve"> for abuse, neglect, or dependency</w:t>
      </w:r>
      <w:r w:rsidR="00153AB8">
        <w:rPr>
          <w:sz w:val="24"/>
          <w:szCs w:val="24"/>
        </w:rPr>
        <w:t xml:space="preserve"> has been properly verified </w:t>
      </w:r>
      <w:r w:rsidR="00F46671">
        <w:rPr>
          <w:sz w:val="24"/>
          <w:szCs w:val="24"/>
        </w:rPr>
        <w:t xml:space="preserve">so as to </w:t>
      </w:r>
      <w:r w:rsidR="00153AB8">
        <w:rPr>
          <w:sz w:val="24"/>
          <w:szCs w:val="24"/>
        </w:rPr>
        <w:t>invok</w:t>
      </w:r>
      <w:r w:rsidR="00F46671">
        <w:rPr>
          <w:sz w:val="24"/>
          <w:szCs w:val="24"/>
        </w:rPr>
        <w:t>e</w:t>
      </w:r>
      <w:r w:rsidR="00153AB8">
        <w:rPr>
          <w:sz w:val="24"/>
          <w:szCs w:val="24"/>
        </w:rPr>
        <w:t xml:space="preserve"> subject matter jurisdiction.</w:t>
      </w:r>
    </w:p>
    <w:p w:rsidR="00EA7FC3" w:rsidRDefault="00EA7FC3" w:rsidP="00EA7FC3">
      <w:pPr>
        <w:spacing w:after="0" w:line="240" w:lineRule="auto"/>
        <w:rPr>
          <w:sz w:val="24"/>
          <w:szCs w:val="24"/>
        </w:rPr>
      </w:pPr>
    </w:p>
    <w:p w:rsidR="00EA7FC3" w:rsidRDefault="008214CD" w:rsidP="00EA7FC3">
      <w:pPr>
        <w:spacing w:after="0" w:line="240" w:lineRule="auto"/>
        <w:rPr>
          <w:b/>
          <w:sz w:val="24"/>
          <w:szCs w:val="24"/>
        </w:rPr>
      </w:pPr>
      <w:hyperlink r:id="rId7" w:history="1">
        <w:r w:rsidR="00EA7FC3" w:rsidRPr="00EA7FC3">
          <w:rPr>
            <w:rStyle w:val="Hyperlink"/>
            <w:b/>
            <w:sz w:val="24"/>
            <w:szCs w:val="24"/>
          </w:rPr>
          <w:t>S.L. 2014-115</w:t>
        </w:r>
      </w:hyperlink>
      <w:r w:rsidR="00EA7FC3">
        <w:rPr>
          <w:b/>
          <w:sz w:val="24"/>
          <w:szCs w:val="24"/>
        </w:rPr>
        <w:t xml:space="preserve"> (</w:t>
      </w:r>
      <w:r w:rsidR="00E71D8D">
        <w:rPr>
          <w:b/>
          <w:sz w:val="24"/>
          <w:szCs w:val="24"/>
        </w:rPr>
        <w:t>H1133):</w:t>
      </w:r>
      <w:r w:rsidR="00EA7FC3">
        <w:rPr>
          <w:b/>
          <w:sz w:val="24"/>
          <w:szCs w:val="24"/>
        </w:rPr>
        <w:t xml:space="preserve"> Technical Corrections</w:t>
      </w:r>
      <w:r w:rsidR="00E71D8D">
        <w:rPr>
          <w:b/>
          <w:sz w:val="24"/>
          <w:szCs w:val="24"/>
        </w:rPr>
        <w:t>, Payment for Parent GAL</w:t>
      </w:r>
    </w:p>
    <w:p w:rsidR="00EA7FC3" w:rsidRPr="00EA7FC3" w:rsidRDefault="00E71D8D" w:rsidP="00E71D8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Section 2</w:t>
      </w:r>
      <w:r w:rsidR="00903757">
        <w:rPr>
          <w:sz w:val="24"/>
          <w:szCs w:val="24"/>
        </w:rPr>
        <w:t>1 (p. 13 of the pdf version)</w:t>
      </w:r>
      <w:bookmarkStart w:id="0" w:name="_GoBack"/>
      <w:bookmarkEnd w:id="0"/>
      <w:r>
        <w:rPr>
          <w:sz w:val="24"/>
          <w:szCs w:val="24"/>
        </w:rPr>
        <w:t xml:space="preserve"> amends </w:t>
      </w:r>
      <w:r w:rsidR="00EA7FC3">
        <w:rPr>
          <w:sz w:val="24"/>
          <w:szCs w:val="24"/>
        </w:rPr>
        <w:t xml:space="preserve">G.S. 7B-603(b) to expressly state </w:t>
      </w:r>
      <w:r>
        <w:rPr>
          <w:sz w:val="24"/>
          <w:szCs w:val="24"/>
        </w:rPr>
        <w:t xml:space="preserve">IDS pays the cost of </w:t>
      </w:r>
      <w:r w:rsidR="00EA7FC3">
        <w:rPr>
          <w:sz w:val="24"/>
          <w:szCs w:val="24"/>
        </w:rPr>
        <w:t xml:space="preserve">a guardian ad litem appointed to a </w:t>
      </w:r>
      <w:r>
        <w:rPr>
          <w:sz w:val="24"/>
          <w:szCs w:val="24"/>
        </w:rPr>
        <w:t xml:space="preserve">respondent </w:t>
      </w:r>
      <w:r w:rsidR="00EA7FC3"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in an abuse, neglect, or dependency action. Prior to this correction, payment by IDS for </w:t>
      </w:r>
      <w:r w:rsidR="00ED0C62">
        <w:rPr>
          <w:sz w:val="24"/>
          <w:szCs w:val="24"/>
        </w:rPr>
        <w:t xml:space="preserve">a </w:t>
      </w:r>
      <w:r>
        <w:rPr>
          <w:sz w:val="24"/>
          <w:szCs w:val="24"/>
        </w:rPr>
        <w:t>GAL appointed to a respondent parent appeared only at G.S. 7B-1101.1(f)</w:t>
      </w:r>
      <w:r w:rsidR="00ED0C62">
        <w:rPr>
          <w:sz w:val="24"/>
          <w:szCs w:val="24"/>
        </w:rPr>
        <w:t>, which applied</w:t>
      </w:r>
      <w:r>
        <w:rPr>
          <w:sz w:val="24"/>
          <w:szCs w:val="24"/>
        </w:rPr>
        <w:t xml:space="preserve"> to </w:t>
      </w:r>
      <w:r w:rsidR="00EA7FC3">
        <w:rPr>
          <w:sz w:val="24"/>
          <w:szCs w:val="24"/>
        </w:rPr>
        <w:t>termination of parental rights action</w:t>
      </w:r>
      <w:r w:rsidR="00F46671">
        <w:rPr>
          <w:sz w:val="24"/>
          <w:szCs w:val="24"/>
        </w:rPr>
        <w:t>s</w:t>
      </w:r>
      <w:r w:rsidR="00EA7FC3">
        <w:rPr>
          <w:sz w:val="24"/>
          <w:szCs w:val="24"/>
        </w:rPr>
        <w:t>.</w:t>
      </w:r>
    </w:p>
    <w:p w:rsidR="00153AB8" w:rsidRDefault="00153AB8" w:rsidP="00153AB8">
      <w:pPr>
        <w:spacing w:after="0" w:line="240" w:lineRule="auto"/>
        <w:rPr>
          <w:sz w:val="24"/>
          <w:szCs w:val="24"/>
        </w:rPr>
      </w:pPr>
    </w:p>
    <w:p w:rsidR="00153AB8" w:rsidRPr="00995C89" w:rsidRDefault="008214CD" w:rsidP="007656E0">
      <w:pPr>
        <w:spacing w:after="0" w:line="240" w:lineRule="auto"/>
        <w:rPr>
          <w:sz w:val="24"/>
        </w:rPr>
      </w:pPr>
      <w:hyperlink r:id="rId8" w:history="1">
        <w:r w:rsidR="00374F49" w:rsidRPr="00374F49">
          <w:rPr>
            <w:rStyle w:val="Hyperlink"/>
            <w:b/>
            <w:sz w:val="24"/>
            <w:szCs w:val="24"/>
          </w:rPr>
          <w:t>S.L. 2014-100</w:t>
        </w:r>
      </w:hyperlink>
      <w:r w:rsidR="00374F49">
        <w:rPr>
          <w:b/>
          <w:sz w:val="24"/>
          <w:szCs w:val="24"/>
        </w:rPr>
        <w:t xml:space="preserve"> (S744): Appropriations Act</w:t>
      </w:r>
      <w:r w:rsidR="00EA7FC3">
        <w:rPr>
          <w:b/>
          <w:sz w:val="24"/>
          <w:szCs w:val="24"/>
        </w:rPr>
        <w:t xml:space="preserve"> </w:t>
      </w:r>
      <w:r w:rsidR="00EA7FC3">
        <w:rPr>
          <w:sz w:val="24"/>
          <w:szCs w:val="24"/>
        </w:rPr>
        <w:t>Section XII Part C</w:t>
      </w:r>
      <w:r w:rsidR="00502663">
        <w:rPr>
          <w:sz w:val="24"/>
          <w:szCs w:val="24"/>
        </w:rPr>
        <w:t xml:space="preserve"> </w:t>
      </w:r>
      <w:r w:rsidR="00EA7FC3">
        <w:rPr>
          <w:sz w:val="24"/>
          <w:szCs w:val="24"/>
        </w:rPr>
        <w:t>addresses the</w:t>
      </w:r>
      <w:r w:rsidR="00F46671">
        <w:rPr>
          <w:sz w:val="24"/>
          <w:szCs w:val="24"/>
        </w:rPr>
        <w:t xml:space="preserve"> Department of Health and Human Services </w:t>
      </w:r>
      <w:r w:rsidR="00EA7FC3">
        <w:rPr>
          <w:sz w:val="24"/>
          <w:szCs w:val="24"/>
        </w:rPr>
        <w:t xml:space="preserve">Division of Social Services. The following sections </w:t>
      </w:r>
      <w:r w:rsidR="00ED0C62">
        <w:rPr>
          <w:sz w:val="24"/>
          <w:szCs w:val="24"/>
        </w:rPr>
        <w:t>are part of the “Child Protective Services Improvement Initiative.”</w:t>
      </w:r>
    </w:p>
    <w:p w:rsidR="00153AB8" w:rsidRPr="006B245A" w:rsidRDefault="00153AB8" w:rsidP="00153AB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>Section 12C.1</w:t>
      </w:r>
      <w:r w:rsidR="006B245A">
        <w:rPr>
          <w:sz w:val="24"/>
          <w:szCs w:val="24"/>
        </w:rPr>
        <w:t>.(b)</w:t>
      </w:r>
      <w:r w:rsidR="00502663">
        <w:rPr>
          <w:sz w:val="24"/>
          <w:szCs w:val="24"/>
        </w:rPr>
        <w:t xml:space="preserve"> found at p. 72 of the pdf version</w:t>
      </w:r>
      <w:r w:rsidR="006B245A">
        <w:rPr>
          <w:sz w:val="24"/>
          <w:szCs w:val="24"/>
        </w:rPr>
        <w:t xml:space="preserve"> provides additional funding</w:t>
      </w:r>
      <w:r w:rsidR="002472DE">
        <w:rPr>
          <w:sz w:val="24"/>
          <w:szCs w:val="24"/>
        </w:rPr>
        <w:t xml:space="preserve"> for child protective services workers</w:t>
      </w:r>
      <w:r w:rsidR="006B245A">
        <w:rPr>
          <w:sz w:val="24"/>
          <w:szCs w:val="24"/>
        </w:rPr>
        <w:t xml:space="preserve"> to decrease the average caseload </w:t>
      </w:r>
      <w:r w:rsidR="002472DE">
        <w:rPr>
          <w:sz w:val="24"/>
          <w:szCs w:val="24"/>
        </w:rPr>
        <w:t>per</w:t>
      </w:r>
      <w:r w:rsidR="006B245A">
        <w:rPr>
          <w:sz w:val="24"/>
          <w:szCs w:val="24"/>
        </w:rPr>
        <w:t xml:space="preserve"> worker to a recommended 10 families</w:t>
      </w:r>
      <w:r w:rsidR="002472DE">
        <w:rPr>
          <w:sz w:val="24"/>
          <w:szCs w:val="24"/>
        </w:rPr>
        <w:t xml:space="preserve"> and is</w:t>
      </w:r>
      <w:r w:rsidR="006B245A">
        <w:rPr>
          <w:sz w:val="24"/>
          <w:szCs w:val="24"/>
        </w:rPr>
        <w:t xml:space="preserve"> effective October 1, 2014.</w:t>
      </w:r>
    </w:p>
    <w:p w:rsidR="006B245A" w:rsidRPr="006B245A" w:rsidRDefault="006B245A" w:rsidP="00153AB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>Section 12C.1.(d)</w:t>
      </w:r>
      <w:r w:rsidR="00502663">
        <w:rPr>
          <w:sz w:val="24"/>
          <w:szCs w:val="24"/>
        </w:rPr>
        <w:t xml:space="preserve"> found at p. 73 of the pdf version</w:t>
      </w:r>
      <w:r>
        <w:rPr>
          <w:sz w:val="24"/>
          <w:szCs w:val="24"/>
        </w:rPr>
        <w:t xml:space="preserve"> provides fund</w:t>
      </w:r>
      <w:r w:rsidR="002472DE">
        <w:rPr>
          <w:sz w:val="24"/>
          <w:szCs w:val="24"/>
        </w:rPr>
        <w:t>ing</w:t>
      </w:r>
      <w:r>
        <w:rPr>
          <w:sz w:val="24"/>
          <w:szCs w:val="24"/>
        </w:rPr>
        <w:t xml:space="preserve"> for 9 positions with the Division of Social Services </w:t>
      </w:r>
      <w:r w:rsidR="007656E0">
        <w:rPr>
          <w:sz w:val="24"/>
          <w:szCs w:val="24"/>
        </w:rPr>
        <w:t xml:space="preserve">that will provide </w:t>
      </w:r>
      <w:r w:rsidR="002472DE">
        <w:rPr>
          <w:sz w:val="24"/>
          <w:szCs w:val="24"/>
        </w:rPr>
        <w:t xml:space="preserve">oversight of county departments of social services through </w:t>
      </w:r>
      <w:r>
        <w:rPr>
          <w:sz w:val="24"/>
          <w:szCs w:val="24"/>
        </w:rPr>
        <w:t>monitor</w:t>
      </w:r>
      <w:r w:rsidR="002472DE">
        <w:rPr>
          <w:sz w:val="24"/>
          <w:szCs w:val="24"/>
        </w:rPr>
        <w:t>ing</w:t>
      </w:r>
      <w:r>
        <w:rPr>
          <w:sz w:val="24"/>
          <w:szCs w:val="24"/>
        </w:rPr>
        <w:t>, train</w:t>
      </w:r>
      <w:r w:rsidR="002472DE">
        <w:rPr>
          <w:sz w:val="24"/>
          <w:szCs w:val="24"/>
        </w:rPr>
        <w:t>ing</w:t>
      </w:r>
      <w:r>
        <w:rPr>
          <w:sz w:val="24"/>
          <w:szCs w:val="24"/>
        </w:rPr>
        <w:t xml:space="preserve">, and </w:t>
      </w:r>
      <w:r w:rsidR="002472DE">
        <w:rPr>
          <w:sz w:val="24"/>
          <w:szCs w:val="24"/>
        </w:rPr>
        <w:t>t</w:t>
      </w:r>
      <w:r>
        <w:rPr>
          <w:sz w:val="24"/>
          <w:szCs w:val="24"/>
        </w:rPr>
        <w:t>echnical assistance regarding child protective services.</w:t>
      </w:r>
    </w:p>
    <w:p w:rsidR="007656E0" w:rsidRPr="007656E0" w:rsidRDefault="006B245A" w:rsidP="00ED0C6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D0C62">
        <w:rPr>
          <w:sz w:val="24"/>
          <w:szCs w:val="24"/>
        </w:rPr>
        <w:t>Section 12C.1.(f)</w:t>
      </w:r>
      <w:r w:rsidR="00502663">
        <w:rPr>
          <w:sz w:val="24"/>
          <w:szCs w:val="24"/>
        </w:rPr>
        <w:t xml:space="preserve"> found at p. 73 of the pdf version </w:t>
      </w:r>
      <w:r w:rsidRPr="00ED0C62">
        <w:rPr>
          <w:sz w:val="24"/>
          <w:szCs w:val="24"/>
        </w:rPr>
        <w:t xml:space="preserve">provides funding for the Division of Social Services </w:t>
      </w:r>
      <w:r w:rsidR="002472DE">
        <w:rPr>
          <w:sz w:val="24"/>
          <w:szCs w:val="24"/>
        </w:rPr>
        <w:t xml:space="preserve">to contract </w:t>
      </w:r>
      <w:r w:rsidRPr="00ED0C62">
        <w:rPr>
          <w:sz w:val="24"/>
          <w:szCs w:val="24"/>
        </w:rPr>
        <w:t xml:space="preserve">for an independent evaluation of the state child protective services system with recommendations </w:t>
      </w:r>
      <w:r w:rsidR="002472DE">
        <w:rPr>
          <w:sz w:val="24"/>
          <w:szCs w:val="24"/>
        </w:rPr>
        <w:t xml:space="preserve">to be provided </w:t>
      </w:r>
      <w:r w:rsidRPr="00ED0C62">
        <w:rPr>
          <w:sz w:val="24"/>
          <w:szCs w:val="24"/>
        </w:rPr>
        <w:t>regarding</w:t>
      </w:r>
      <w:r w:rsidR="007656E0">
        <w:rPr>
          <w:sz w:val="24"/>
          <w:szCs w:val="24"/>
        </w:rPr>
        <w:t>:</w:t>
      </w:r>
    </w:p>
    <w:p w:rsidR="007656E0" w:rsidRPr="007656E0" w:rsidRDefault="006B245A" w:rsidP="007656E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ED0C62">
        <w:rPr>
          <w:sz w:val="24"/>
          <w:szCs w:val="24"/>
        </w:rPr>
        <w:t>the administrative structure of the system,</w:t>
      </w:r>
    </w:p>
    <w:p w:rsidR="007656E0" w:rsidRPr="007656E0" w:rsidRDefault="006B245A" w:rsidP="007656E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ED0C62">
        <w:rPr>
          <w:sz w:val="24"/>
          <w:szCs w:val="24"/>
        </w:rPr>
        <w:t>performances, monitoring</w:t>
      </w:r>
      <w:r w:rsidR="007656E0">
        <w:rPr>
          <w:sz w:val="24"/>
          <w:szCs w:val="24"/>
        </w:rPr>
        <w:t xml:space="preserve">, </w:t>
      </w:r>
      <w:r w:rsidRPr="00ED0C62">
        <w:rPr>
          <w:sz w:val="24"/>
          <w:szCs w:val="24"/>
        </w:rPr>
        <w:t xml:space="preserve">and oversight of the county departments, </w:t>
      </w:r>
    </w:p>
    <w:p w:rsidR="007656E0" w:rsidRPr="007656E0" w:rsidRDefault="006B245A" w:rsidP="007656E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ED0C62">
        <w:rPr>
          <w:sz w:val="24"/>
          <w:szCs w:val="24"/>
        </w:rPr>
        <w:t>caseload sizes</w:t>
      </w:r>
      <w:r w:rsidR="007656E0">
        <w:rPr>
          <w:sz w:val="24"/>
          <w:szCs w:val="24"/>
        </w:rPr>
        <w:t xml:space="preserve"> and</w:t>
      </w:r>
      <w:r w:rsidRPr="00ED0C62">
        <w:rPr>
          <w:sz w:val="24"/>
          <w:szCs w:val="24"/>
        </w:rPr>
        <w:t xml:space="preserve"> case worker turnover, and </w:t>
      </w:r>
    </w:p>
    <w:p w:rsidR="007656E0" w:rsidRPr="007656E0" w:rsidRDefault="006B245A" w:rsidP="007656E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proofErr w:type="gramStart"/>
      <w:r w:rsidRPr="00ED0C62">
        <w:rPr>
          <w:sz w:val="24"/>
          <w:szCs w:val="24"/>
        </w:rPr>
        <w:t>adequacy</w:t>
      </w:r>
      <w:proofErr w:type="gramEnd"/>
      <w:r w:rsidRPr="00ED0C62">
        <w:rPr>
          <w:sz w:val="24"/>
          <w:szCs w:val="24"/>
        </w:rPr>
        <w:t xml:space="preserve"> of funding</w:t>
      </w:r>
      <w:r w:rsidR="002472DE">
        <w:rPr>
          <w:sz w:val="24"/>
          <w:szCs w:val="24"/>
        </w:rPr>
        <w:t>.</w:t>
      </w:r>
    </w:p>
    <w:p w:rsidR="006B245A" w:rsidRPr="007656E0" w:rsidRDefault="002472DE" w:rsidP="007656E0">
      <w:pPr>
        <w:spacing w:after="0" w:line="240" w:lineRule="auto"/>
        <w:ind w:left="630" w:firstLine="60"/>
        <w:rPr>
          <w:sz w:val="28"/>
        </w:rPr>
      </w:pPr>
      <w:r w:rsidRPr="007656E0">
        <w:rPr>
          <w:sz w:val="24"/>
          <w:szCs w:val="24"/>
        </w:rPr>
        <w:t>A</w:t>
      </w:r>
      <w:r w:rsidR="006B245A" w:rsidRPr="007656E0">
        <w:rPr>
          <w:sz w:val="24"/>
          <w:szCs w:val="24"/>
        </w:rPr>
        <w:t xml:space="preserve"> report</w:t>
      </w:r>
      <w:r w:rsidRPr="007656E0">
        <w:rPr>
          <w:sz w:val="24"/>
          <w:szCs w:val="24"/>
        </w:rPr>
        <w:t xml:space="preserve"> shall be submitted </w:t>
      </w:r>
      <w:r w:rsidR="006B245A" w:rsidRPr="007656E0">
        <w:rPr>
          <w:sz w:val="24"/>
          <w:szCs w:val="24"/>
        </w:rPr>
        <w:t>to Joint Legislative Oversight Committee by January 1, 2016</w:t>
      </w:r>
    </w:p>
    <w:p w:rsidR="00ED0C62" w:rsidRPr="00F46671" w:rsidRDefault="00ED0C62" w:rsidP="00ED0C6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>Section 12C.1.(</w:t>
      </w:r>
      <w:r w:rsidR="002472DE">
        <w:rPr>
          <w:sz w:val="24"/>
          <w:szCs w:val="24"/>
        </w:rPr>
        <w:t xml:space="preserve">g) </w:t>
      </w:r>
      <w:r w:rsidR="00502663">
        <w:rPr>
          <w:sz w:val="24"/>
          <w:szCs w:val="24"/>
        </w:rPr>
        <w:t xml:space="preserve">found on pp. 73-74 of the pdf version </w:t>
      </w:r>
      <w:r w:rsidR="002472DE">
        <w:rPr>
          <w:sz w:val="24"/>
          <w:szCs w:val="24"/>
        </w:rPr>
        <w:t>requires the Division of Social Services to conduct a conflict of interest study when</w:t>
      </w:r>
      <w:r w:rsidR="00F46671">
        <w:rPr>
          <w:sz w:val="24"/>
          <w:szCs w:val="24"/>
        </w:rPr>
        <w:t xml:space="preserve"> a county department of social services is involved in both a</w:t>
      </w:r>
      <w:r w:rsidR="002472DE">
        <w:rPr>
          <w:sz w:val="24"/>
          <w:szCs w:val="24"/>
        </w:rPr>
        <w:t xml:space="preserve"> child protective case and public guardians</w:t>
      </w:r>
      <w:r w:rsidR="00F46671">
        <w:rPr>
          <w:sz w:val="24"/>
          <w:szCs w:val="24"/>
        </w:rPr>
        <w:t>hip</w:t>
      </w:r>
      <w:r w:rsidR="002472DE">
        <w:rPr>
          <w:sz w:val="24"/>
          <w:szCs w:val="24"/>
        </w:rPr>
        <w:t xml:space="preserve"> case </w:t>
      </w:r>
      <w:r w:rsidR="00F46671">
        <w:rPr>
          <w:sz w:val="24"/>
          <w:szCs w:val="24"/>
        </w:rPr>
        <w:t>involving the parent</w:t>
      </w:r>
      <w:r w:rsidR="007656E0">
        <w:rPr>
          <w:sz w:val="24"/>
          <w:szCs w:val="24"/>
        </w:rPr>
        <w:t>, custodian, guardian, or caretaker</w:t>
      </w:r>
      <w:r w:rsidR="00F46671">
        <w:rPr>
          <w:sz w:val="24"/>
          <w:szCs w:val="24"/>
        </w:rPr>
        <w:t xml:space="preserve"> of the child at issue in the child protective case. The Division of Social Services is directed to consider</w:t>
      </w:r>
    </w:p>
    <w:p w:rsidR="00F46671" w:rsidRPr="00F46671" w:rsidRDefault="00F46671" w:rsidP="00F4667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 xml:space="preserve">Internal firewalls within a county </w:t>
      </w:r>
      <w:proofErr w:type="spellStart"/>
      <w:r>
        <w:rPr>
          <w:sz w:val="24"/>
          <w:szCs w:val="24"/>
        </w:rPr>
        <w:t>dss</w:t>
      </w:r>
      <w:proofErr w:type="spellEnd"/>
      <w:r>
        <w:rPr>
          <w:sz w:val="24"/>
          <w:szCs w:val="24"/>
        </w:rPr>
        <w:t xml:space="preserve"> to prevent information sharing</w:t>
      </w:r>
    </w:p>
    <w:p w:rsidR="00F46671" w:rsidRPr="007656E0" w:rsidRDefault="007656E0" w:rsidP="00F4667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 xml:space="preserve">The creation of a “buddy system” with a neighboring county </w:t>
      </w:r>
      <w:proofErr w:type="spellStart"/>
      <w:r>
        <w:rPr>
          <w:sz w:val="24"/>
          <w:szCs w:val="24"/>
        </w:rPr>
        <w:t>dss</w:t>
      </w:r>
      <w:proofErr w:type="spellEnd"/>
    </w:p>
    <w:p w:rsidR="007656E0" w:rsidRPr="007656E0" w:rsidRDefault="007656E0" w:rsidP="00F4667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656E0">
        <w:rPr>
          <w:sz w:val="24"/>
          <w:szCs w:val="24"/>
        </w:rPr>
        <w:t xml:space="preserve">Referral of the guardianship to a corporate guardian </w:t>
      </w:r>
    </w:p>
    <w:p w:rsidR="007656E0" w:rsidRPr="007656E0" w:rsidRDefault="007656E0" w:rsidP="00F4667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t>NC DHHS taking responsibility for either the guardianship or child protective case</w:t>
      </w:r>
    </w:p>
    <w:p w:rsidR="007656E0" w:rsidRPr="007656E0" w:rsidRDefault="007656E0" w:rsidP="00F4667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4"/>
          <w:szCs w:val="24"/>
        </w:rPr>
        <w:lastRenderedPageBreak/>
        <w:t>Legislation identifying other public agencies or officials to serve as public guardian</w:t>
      </w:r>
    </w:p>
    <w:p w:rsidR="00153AB8" w:rsidRDefault="007656E0" w:rsidP="007656E0">
      <w:pPr>
        <w:spacing w:after="0" w:line="240" w:lineRule="auto"/>
        <w:ind w:left="720"/>
      </w:pPr>
      <w:r>
        <w:rPr>
          <w:sz w:val="24"/>
          <w:szCs w:val="24"/>
        </w:rPr>
        <w:t>A final report of the study must be submitted to the Senate Appropriations Committee on Health and Human Services and the Fiscal Research Division by February 1, 2015.</w:t>
      </w:r>
      <w:r w:rsidRPr="007656E0">
        <w:rPr>
          <w:sz w:val="24"/>
          <w:szCs w:val="24"/>
        </w:rPr>
        <w:t xml:space="preserve"> </w:t>
      </w:r>
    </w:p>
    <w:sectPr w:rsidR="0015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3F0"/>
    <w:multiLevelType w:val="hybridMultilevel"/>
    <w:tmpl w:val="C94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4CAC"/>
    <w:multiLevelType w:val="hybridMultilevel"/>
    <w:tmpl w:val="3ACC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2AB2"/>
    <w:multiLevelType w:val="hybridMultilevel"/>
    <w:tmpl w:val="5B02DE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B8"/>
    <w:rsid w:val="00153AB8"/>
    <w:rsid w:val="001A70F7"/>
    <w:rsid w:val="002472DE"/>
    <w:rsid w:val="00374F49"/>
    <w:rsid w:val="00422F7F"/>
    <w:rsid w:val="00502663"/>
    <w:rsid w:val="00566A5F"/>
    <w:rsid w:val="006B245A"/>
    <w:rsid w:val="007656E0"/>
    <w:rsid w:val="008214CD"/>
    <w:rsid w:val="00903757"/>
    <w:rsid w:val="00941C92"/>
    <w:rsid w:val="00E71D8D"/>
    <w:rsid w:val="00EA7FC3"/>
    <w:rsid w:val="00ED0C62"/>
    <w:rsid w:val="00F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eg.net/sessions/2013/bills/senate/pdf/s744v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cleg.net/EnactedLegislation/SessionLaws/PDF/2013-2014/SL2014-1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leg.net/Sessions/2013/Bills/House/PDF/H1103v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</dc:creator>
  <cp:lastModifiedBy>Sara D</cp:lastModifiedBy>
  <cp:revision>2</cp:revision>
  <dcterms:created xsi:type="dcterms:W3CDTF">2014-09-11T12:29:00Z</dcterms:created>
  <dcterms:modified xsi:type="dcterms:W3CDTF">2014-09-11T12:29:00Z</dcterms:modified>
</cp:coreProperties>
</file>